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0" w:type="dxa"/>
        <w:tblCellSpacing w:w="0" w:type="dxa"/>
        <w:tblCellMar>
          <w:left w:w="0" w:type="dxa"/>
          <w:right w:w="0" w:type="dxa"/>
        </w:tblCellMar>
        <w:tblLook w:val="04A0" w:firstRow="1" w:lastRow="0" w:firstColumn="1" w:lastColumn="0" w:noHBand="0" w:noVBand="1"/>
      </w:tblPr>
      <w:tblGrid>
        <w:gridCol w:w="10050"/>
      </w:tblGrid>
      <w:tr w:rsidR="004F2938" w:rsidRPr="004F2938" w:rsidTr="004F2938">
        <w:trPr>
          <w:tblCellSpacing w:w="0" w:type="dxa"/>
        </w:trPr>
        <w:tc>
          <w:tcPr>
            <w:tcW w:w="0" w:type="auto"/>
            <w:shd w:val="clear" w:color="auto" w:fill="auto"/>
            <w:tcMar>
              <w:top w:w="0" w:type="dxa"/>
              <w:left w:w="0" w:type="dxa"/>
              <w:bottom w:w="150" w:type="dxa"/>
              <w:right w:w="150" w:type="dxa"/>
            </w:tcMar>
            <w:hideMark/>
          </w:tcPr>
          <w:p w:rsidR="004F2938" w:rsidRPr="004F2938" w:rsidRDefault="004F2938" w:rsidP="004F2938">
            <w:pPr>
              <w:spacing w:after="0" w:line="270" w:lineRule="atLeast"/>
              <w:rPr>
                <w:rFonts w:ascii="Arial" w:eastAsia="Times New Roman" w:hAnsi="Arial" w:cs="Arial"/>
                <w:b/>
                <w:bCs/>
                <w:color w:val="2F2F2F"/>
                <w:lang w:eastAsia="de-CH"/>
              </w:rPr>
            </w:pPr>
            <w:bookmarkStart w:id="0" w:name="_GoBack" w:colFirst="0" w:colLast="1"/>
            <w:r w:rsidRPr="004F2938">
              <w:rPr>
                <w:rFonts w:ascii="Arial" w:eastAsia="Times New Roman" w:hAnsi="Arial" w:cs="Arial"/>
                <w:b/>
                <w:bCs/>
                <w:color w:val="2F2F2F"/>
                <w:lang w:eastAsia="de-CH"/>
              </w:rPr>
              <w:t>Beschreibung</w:t>
            </w:r>
          </w:p>
        </w:tc>
      </w:tr>
      <w:tr w:rsidR="004F2938" w:rsidRPr="004F2938" w:rsidTr="004F2938">
        <w:trPr>
          <w:tblCellSpacing w:w="0" w:type="dxa"/>
        </w:trPr>
        <w:tc>
          <w:tcPr>
            <w:tcW w:w="0" w:type="auto"/>
            <w:shd w:val="clear" w:color="auto" w:fill="auto"/>
            <w:tcMar>
              <w:top w:w="0" w:type="dxa"/>
              <w:left w:w="0" w:type="dxa"/>
              <w:bottom w:w="150" w:type="dxa"/>
              <w:right w:w="0" w:type="dxa"/>
            </w:tcMar>
            <w:vAlign w:val="center"/>
            <w:hideMark/>
          </w:tcPr>
          <w:p w:rsidR="004F2938" w:rsidRPr="004F2938" w:rsidRDefault="004F2938" w:rsidP="004F2938">
            <w:pPr>
              <w:spacing w:after="0" w:line="270" w:lineRule="atLeast"/>
              <w:rPr>
                <w:rFonts w:ascii="Arial" w:eastAsia="Times New Roman" w:hAnsi="Arial" w:cs="Arial"/>
                <w:color w:val="2F2F2F"/>
                <w:lang w:eastAsia="de-CH"/>
              </w:rPr>
            </w:pPr>
            <w:r w:rsidRPr="004F2938">
              <w:rPr>
                <w:rFonts w:ascii="Arial" w:eastAsia="Times New Roman" w:hAnsi="Arial" w:cs="Arial"/>
                <w:color w:val="2F2F2F"/>
                <w:lang w:eastAsia="de-CH"/>
              </w:rPr>
              <w:t>Die Jungen Grünen haben 2016 die Volksinitiative «Zersiedelung stoppen – für eine nachhaltige Siedlungsentwicklung (Zersiedelungsinitiative)» eingereicht. Diese will die Gesamtfläche der Bauzonen in der Schweiz einfrieren: Neue Bauzonen sollen nur noch geschaffen werden dürfen, wenn andernorts eine mindestens gleich grosse Fläche als Bauzone aufgehoben wird. Die Initiative will in der Verfassung zudem festschreiben, welche Bauten und Anlagen ausserhalb der Bauzonen noch gebaut werden dürfen. Weiter fordert sie, dass bereits bebaute Flächen besser genutzt werden. Bund, Kantone und Gemeinden müssten ausserdem nachhaltige Formen des Wohnens und Arbeitens fördern.</w:t>
            </w:r>
          </w:p>
        </w:tc>
      </w:tr>
      <w:bookmarkEnd w:id="0"/>
    </w:tbl>
    <w:p w:rsidR="003A5B5F" w:rsidRDefault="003A5B5F"/>
    <w:sectPr w:rsidR="003A5B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38"/>
    <w:rsid w:val="00393402"/>
    <w:rsid w:val="003A5B5F"/>
    <w:rsid w:val="004F2938"/>
    <w:rsid w:val="00966198"/>
    <w:rsid w:val="00A55708"/>
    <w:rsid w:val="00E308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FD219-51EC-4AFD-B252-B5A1873B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592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Joerg Oberrauch</dc:creator>
  <cp:keywords/>
  <dc:description/>
  <cp:lastModifiedBy>Joerg Oberrauch</cp:lastModifiedBy>
  <cp:revision>1</cp:revision>
  <dcterms:created xsi:type="dcterms:W3CDTF">2018-12-27T14:08:00Z</dcterms:created>
  <dcterms:modified xsi:type="dcterms:W3CDTF">2018-12-27T14:09:00Z</dcterms:modified>
</cp:coreProperties>
</file>